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EC" w:rsidRPr="00581397" w:rsidRDefault="00A76C38">
      <w:pPr>
        <w:rPr>
          <w:b/>
          <w:lang w:val="en-US"/>
        </w:rPr>
      </w:pPr>
      <w:r w:rsidRPr="00581397">
        <w:rPr>
          <w:b/>
          <w:lang w:val="en-US"/>
        </w:rPr>
        <w:t xml:space="preserve">Towards a </w:t>
      </w:r>
      <w:proofErr w:type="spellStart"/>
      <w:r w:rsidRPr="00581397">
        <w:rPr>
          <w:b/>
          <w:lang w:val="en-US"/>
        </w:rPr>
        <w:t>spiderman</w:t>
      </w:r>
      <w:proofErr w:type="spellEnd"/>
      <w:r w:rsidRPr="00581397">
        <w:rPr>
          <w:b/>
          <w:lang w:val="en-US"/>
        </w:rPr>
        <w:t xml:space="preserve"> </w:t>
      </w:r>
      <w:proofErr w:type="gramStart"/>
      <w:r w:rsidRPr="00581397">
        <w:rPr>
          <w:b/>
          <w:lang w:val="en-US"/>
        </w:rPr>
        <w:t>suit :</w:t>
      </w:r>
      <w:proofErr w:type="gramEnd"/>
      <w:r w:rsidRPr="00581397">
        <w:rPr>
          <w:b/>
          <w:lang w:val="en-US"/>
        </w:rPr>
        <w:t xml:space="preserve"> large invisible and self-cleaning releasable </w:t>
      </w:r>
      <w:proofErr w:type="spellStart"/>
      <w:r w:rsidR="00446D58">
        <w:rPr>
          <w:b/>
          <w:lang w:val="en-US"/>
        </w:rPr>
        <w:t>s</w:t>
      </w:r>
      <w:r w:rsidRPr="00581397">
        <w:rPr>
          <w:b/>
          <w:lang w:val="en-US"/>
        </w:rPr>
        <w:t>uperadhesive</w:t>
      </w:r>
      <w:proofErr w:type="spellEnd"/>
      <w:r w:rsidRPr="00581397">
        <w:rPr>
          <w:b/>
          <w:lang w:val="en-US"/>
        </w:rPr>
        <w:t xml:space="preserve"> materials</w:t>
      </w:r>
    </w:p>
    <w:p w:rsidR="00A76C38" w:rsidRDefault="00A76C38">
      <w:r w:rsidRPr="00735A23">
        <w:rPr>
          <w:b/>
        </w:rPr>
        <w:t>A lire :</w:t>
      </w:r>
      <w:r>
        <w:tab/>
        <w:t xml:space="preserve"> J. Phys. : </w:t>
      </w:r>
      <w:proofErr w:type="spellStart"/>
      <w:r>
        <w:t>Condens</w:t>
      </w:r>
      <w:proofErr w:type="spellEnd"/>
      <w:r>
        <w:t xml:space="preserve"> </w:t>
      </w:r>
      <w:proofErr w:type="spellStart"/>
      <w:r>
        <w:t>Matter</w:t>
      </w:r>
      <w:proofErr w:type="spellEnd"/>
      <w:r>
        <w:t>, 19, 395001 (2007)</w:t>
      </w:r>
      <w:r w:rsidR="004D5840">
        <w:t xml:space="preserve"> Paragraphes 1, 4 et 5.</w:t>
      </w:r>
    </w:p>
    <w:p w:rsidR="00A76C38" w:rsidRPr="00735A23" w:rsidRDefault="00A76C38">
      <w:pPr>
        <w:rPr>
          <w:b/>
        </w:rPr>
      </w:pPr>
      <w:r w:rsidRPr="00735A23">
        <w:rPr>
          <w:b/>
        </w:rPr>
        <w:t>On pourra aussi utiliser :</w:t>
      </w:r>
    </w:p>
    <w:p w:rsidR="00735A23" w:rsidRDefault="00581397" w:rsidP="00735A23">
      <w:pPr>
        <w:ind w:left="705"/>
        <w:jc w:val="both"/>
      </w:pPr>
      <w:r>
        <w:t>Thèse</w:t>
      </w:r>
      <w:r w:rsidR="00A76C38">
        <w:t xml:space="preserve"> Mathilde </w:t>
      </w:r>
      <w:proofErr w:type="spellStart"/>
      <w:r w:rsidR="00A76C38">
        <w:t>Reyssat</w:t>
      </w:r>
      <w:proofErr w:type="spellEnd"/>
      <w:r w:rsidR="00A76C38">
        <w:t xml:space="preserve"> (</w:t>
      </w:r>
      <w:proofErr w:type="spellStart"/>
      <w:r w:rsidR="00A76C38">
        <w:t>superhydrophobie</w:t>
      </w:r>
      <w:proofErr w:type="spellEnd"/>
      <w:r w:rsidR="00A76C38">
        <w:t>)</w:t>
      </w:r>
      <w:r>
        <w:t xml:space="preserve"> </w:t>
      </w:r>
    </w:p>
    <w:p w:rsidR="004D5840" w:rsidRDefault="004D5840" w:rsidP="00735A23">
      <w:pPr>
        <w:ind w:left="705"/>
        <w:jc w:val="both"/>
      </w:pPr>
      <w:r w:rsidRPr="004D5840">
        <w:t>http://www.pmmh.espci.fr/fr/gouttes/Equipe_files/TheseMathilde.pdf</w:t>
      </w:r>
    </w:p>
    <w:p w:rsidR="00A76C38" w:rsidRDefault="00A76C38" w:rsidP="00735A23">
      <w:pPr>
        <w:jc w:val="both"/>
      </w:pPr>
      <w:r>
        <w:tab/>
        <w:t xml:space="preserve">Article </w:t>
      </w:r>
      <w:r w:rsidR="00581397">
        <w:t>« L’inusable adhésif des pattes du gecko »</w:t>
      </w:r>
    </w:p>
    <w:p w:rsidR="00A76C38" w:rsidRDefault="00A76C38" w:rsidP="00735A23">
      <w:pPr>
        <w:pStyle w:val="Paragraphedeliste"/>
        <w:jc w:val="both"/>
      </w:pPr>
    </w:p>
    <w:p w:rsidR="004D5840" w:rsidRDefault="004D5840" w:rsidP="00735A23">
      <w:pPr>
        <w:pStyle w:val="Paragraphedeliste"/>
        <w:numPr>
          <w:ilvl w:val="0"/>
          <w:numId w:val="1"/>
        </w:numPr>
        <w:jc w:val="both"/>
      </w:pPr>
      <w:r w:rsidRPr="00735A23">
        <w:rPr>
          <w:b/>
        </w:rPr>
        <w:t>Les ventouses</w:t>
      </w:r>
      <w:r>
        <w:t xml:space="preserve"> (</w:t>
      </w:r>
      <w:r w:rsidR="00E7332E">
        <w:t>« 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spiderman</w:t>
      </w:r>
      <w:proofErr w:type="spellEnd"/>
      <w:r>
        <w:t xml:space="preserve"> suit</w:t>
      </w:r>
      <w:r w:rsidR="00E7332E">
        <w:t> »</w:t>
      </w:r>
      <w:r>
        <w:t>, p2)</w:t>
      </w:r>
    </w:p>
    <w:p w:rsidR="004D5840" w:rsidRDefault="004D5840" w:rsidP="00735A23">
      <w:pPr>
        <w:pStyle w:val="Paragraphedeliste"/>
        <w:numPr>
          <w:ilvl w:val="1"/>
          <w:numId w:val="1"/>
        </w:numPr>
        <w:jc w:val="both"/>
      </w:pPr>
      <w:r>
        <w:t>Quel est le mécanisme qui permet aux ventouses de tenir ensemble ?</w:t>
      </w:r>
    </w:p>
    <w:p w:rsidR="004D5840" w:rsidRDefault="004D5840" w:rsidP="00735A23">
      <w:pPr>
        <w:pStyle w:val="Paragraphedeliste"/>
        <w:numPr>
          <w:ilvl w:val="1"/>
          <w:numId w:val="1"/>
        </w:numPr>
        <w:jc w:val="both"/>
      </w:pPr>
      <w:r>
        <w:t xml:space="preserve">Quelle est la dépression maximale que l’on peut observer au niveau de la mer ? </w:t>
      </w:r>
      <w:r w:rsidR="00446D58">
        <w:t>Comparez à la contrainte maximale annoncée dans l’article</w:t>
      </w:r>
      <w:r>
        <w:t>. A combien est égale cette contrainte maximale en haut du Mont-Blanc ?</w:t>
      </w:r>
    </w:p>
    <w:p w:rsidR="00EF30DE" w:rsidRDefault="00EF30DE" w:rsidP="00735A2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30DE">
        <w:t>Une fenêtre avec un double vitrage est fabriqué</w:t>
      </w:r>
      <w:r w:rsidR="00446D58">
        <w:t>e</w:t>
      </w:r>
      <w:r w:rsidRPr="00EF30DE">
        <w:t xml:space="preserve"> en bord de mer. Un</w:t>
      </w:r>
      <w:r>
        <w:t xml:space="preserve"> </w:t>
      </w:r>
      <w:r w:rsidRPr="00EF30DE">
        <w:t>client souhaite acheter ce double vitrage pour l'installer sur son chalet de montagne à une</w:t>
      </w:r>
      <w:r>
        <w:t xml:space="preserve"> </w:t>
      </w:r>
      <w:r w:rsidRPr="00EF30DE">
        <w:t>altitude de 2000mètres</w:t>
      </w:r>
      <w:r>
        <w:t xml:space="preserve"> (P=0.8bars)</w:t>
      </w:r>
      <w:r w:rsidRPr="00EF30DE">
        <w:t xml:space="preserve">. A votre avis, dans quel état, la fenêtre risque-t-elle d'arriver ? </w:t>
      </w:r>
      <w:r w:rsidR="00446D58">
        <w:t xml:space="preserve">Justifier en calculant la contrainte qui va s’exercer sur </w:t>
      </w:r>
      <w:r>
        <w:t>la plaque de verre.</w:t>
      </w:r>
      <w:r w:rsidRPr="00EF30DE">
        <w:t xml:space="preserve"> </w:t>
      </w:r>
    </w:p>
    <w:p w:rsidR="00EF30DE" w:rsidRDefault="00EF30DE" w:rsidP="00735A23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EF30DE" w:rsidRDefault="00EF30DE" w:rsidP="00735A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735A23">
        <w:rPr>
          <w:b/>
        </w:rPr>
        <w:t>L’adhésion du gecko</w:t>
      </w:r>
      <w:r w:rsidR="00E7332E">
        <w:t xml:space="preserve"> (« L’inusable adhésif des pattes du gecko »)</w:t>
      </w:r>
    </w:p>
    <w:p w:rsidR="00A76C38" w:rsidRDefault="00E7332E" w:rsidP="00735A23">
      <w:pPr>
        <w:pStyle w:val="Paragraphedeliste"/>
        <w:numPr>
          <w:ilvl w:val="1"/>
          <w:numId w:val="1"/>
        </w:numPr>
        <w:jc w:val="both"/>
      </w:pPr>
      <w:r>
        <w:t>Quelles sont les propriétés adhésives du gecko que l’être humain essaie de reproduire ?</w:t>
      </w:r>
    </w:p>
    <w:p w:rsidR="00E7332E" w:rsidRDefault="00E7332E" w:rsidP="00735A23">
      <w:pPr>
        <w:pStyle w:val="Paragraphedeliste"/>
        <w:numPr>
          <w:ilvl w:val="1"/>
          <w:numId w:val="1"/>
        </w:numPr>
        <w:jc w:val="both"/>
      </w:pPr>
      <w:r>
        <w:t xml:space="preserve">Quels sont les deux forces principales qui peuvent expliquer l’adhésion du </w:t>
      </w:r>
      <w:proofErr w:type="spellStart"/>
      <w:r>
        <w:t>gecho</w:t>
      </w:r>
      <w:proofErr w:type="spellEnd"/>
      <w:r>
        <w:t xml:space="preserve"> (même si elles sont sujettes à controverse) ?</w:t>
      </w:r>
    </w:p>
    <w:p w:rsidR="00E7332E" w:rsidRDefault="00E7332E" w:rsidP="00735A23">
      <w:pPr>
        <w:pStyle w:val="Paragraphedeliste"/>
        <w:numPr>
          <w:ilvl w:val="1"/>
          <w:numId w:val="1"/>
        </w:numPr>
        <w:jc w:val="both"/>
      </w:pPr>
      <w:r>
        <w:t xml:space="preserve">Focalisons-nous sur les forces de VdW. Quelle est leur origine au niveau microscopique ? Pourquoi deux objets </w:t>
      </w:r>
      <w:r w:rsidR="00581397">
        <w:t xml:space="preserve">macroscopiques </w:t>
      </w:r>
      <w:r>
        <w:t xml:space="preserve">amenés suffisamment près ne s’attirent-ils pas systématiquement grâce aux forces de </w:t>
      </w:r>
      <w:proofErr w:type="spellStart"/>
      <w:r>
        <w:t>VdW</w:t>
      </w:r>
      <w:proofErr w:type="spellEnd"/>
      <w:r>
        <w:t> ? Quelles seraient les conditions pour que ce soit le cas ?</w:t>
      </w:r>
    </w:p>
    <w:p w:rsidR="00E7332E" w:rsidRDefault="00E7332E" w:rsidP="00735A23">
      <w:pPr>
        <w:pStyle w:val="Paragraphedeliste"/>
        <w:numPr>
          <w:ilvl w:val="1"/>
          <w:numId w:val="1"/>
        </w:numPr>
        <w:jc w:val="both"/>
      </w:pPr>
      <w:r>
        <w:t>Décrivez la structure hiérarchique des pattes du gecko (« </w:t>
      </w:r>
      <w:proofErr w:type="spellStart"/>
      <w:r>
        <w:t>Toward</w:t>
      </w:r>
      <w:proofErr w:type="spellEnd"/>
      <w:r>
        <w:t xml:space="preserve"> a </w:t>
      </w:r>
      <w:proofErr w:type="spellStart"/>
      <w:r>
        <w:t>spiderman</w:t>
      </w:r>
      <w:proofErr w:type="spellEnd"/>
      <w:r>
        <w:t xml:space="preserve"> suit », p3)</w:t>
      </w:r>
    </w:p>
    <w:p w:rsidR="00E7332E" w:rsidRDefault="00E7332E" w:rsidP="00735A23">
      <w:pPr>
        <w:pStyle w:val="Paragraphedeliste"/>
        <w:numPr>
          <w:ilvl w:val="1"/>
          <w:numId w:val="1"/>
        </w:numPr>
        <w:autoSpaceDE w:val="0"/>
        <w:jc w:val="both"/>
        <w:rPr>
          <w:rFonts w:cs="cmr10"/>
        </w:rPr>
      </w:pPr>
      <w:r w:rsidRPr="00E7332E">
        <w:rPr>
          <w:rFonts w:cs="cmbx10"/>
        </w:rPr>
        <w:t xml:space="preserve">Pour évaluer la force de Van der </w:t>
      </w:r>
      <w:proofErr w:type="spellStart"/>
      <w:r w:rsidRPr="00E7332E">
        <w:rPr>
          <w:rFonts w:cs="cmbx10"/>
        </w:rPr>
        <w:t>Waals</w:t>
      </w:r>
      <w:proofErr w:type="spellEnd"/>
      <w:r w:rsidRPr="00E7332E">
        <w:rPr>
          <w:rFonts w:cs="cmbx10"/>
        </w:rPr>
        <w:t xml:space="preserve">, utilisons la constante de </w:t>
      </w:r>
      <w:proofErr w:type="spellStart"/>
      <w:r w:rsidRPr="00E7332E">
        <w:rPr>
          <w:rFonts w:cs="cmbx10"/>
        </w:rPr>
        <w:t>Hamaker</w:t>
      </w:r>
      <w:proofErr w:type="spellEnd"/>
      <w:r w:rsidRPr="00E7332E">
        <w:rPr>
          <w:rFonts w:cs="cmbx10"/>
        </w:rPr>
        <w:t xml:space="preserve"> : </w:t>
      </w:r>
      <w:r w:rsidRPr="00E7332E">
        <w:rPr>
          <w:rFonts w:cs="cmr10"/>
        </w:rPr>
        <w:t xml:space="preserve">la force de contact entre le mur et une </w:t>
      </w:r>
      <w:r w:rsidR="00573C47">
        <w:rPr>
          <w:rFonts w:cs="cmr10"/>
        </w:rPr>
        <w:t xml:space="preserve">surface </w:t>
      </w:r>
      <w:r w:rsidR="00573C47" w:rsidRPr="00573C47">
        <w:rPr>
          <w:rFonts w:cs="cmr10"/>
          <w:i/>
        </w:rPr>
        <w:t>S</w:t>
      </w:r>
      <w:r w:rsidRPr="00E7332E">
        <w:rPr>
          <w:rFonts w:cs="cmmi10"/>
        </w:rPr>
        <w:t xml:space="preserve"> </w:t>
      </w:r>
      <w:r w:rsidRPr="00E7332E">
        <w:rPr>
          <w:rFonts w:cs="cmr10"/>
        </w:rPr>
        <w:t xml:space="preserve">est de l’ordre </w:t>
      </w:r>
      <w:r w:rsidRPr="00E7332E">
        <w:rPr>
          <w:rFonts w:eastAsia="cmsy10" w:cs="cmsy10"/>
        </w:rPr>
        <w:t>−</w:t>
      </w:r>
      <w:proofErr w:type="spellStart"/>
      <w:r w:rsidRPr="00E7332E">
        <w:rPr>
          <w:rFonts w:cs="cmmi10"/>
          <w:i/>
          <w:iCs/>
        </w:rPr>
        <w:t>F</w:t>
      </w:r>
      <w:r w:rsidRPr="00E7332E">
        <w:rPr>
          <w:rFonts w:cs="cmr8"/>
          <w:i/>
          <w:iCs/>
          <w:vertAlign w:val="subscript"/>
        </w:rPr>
        <w:t>VdW</w:t>
      </w:r>
      <w:proofErr w:type="spellEnd"/>
      <w:r w:rsidRPr="00E7332E">
        <w:rPr>
          <w:rFonts w:cs="cmr8"/>
        </w:rPr>
        <w:t xml:space="preserve"> </w:t>
      </w:r>
      <w:r w:rsidRPr="00E7332E">
        <w:rPr>
          <w:rFonts w:cs="cmr10"/>
        </w:rPr>
        <w:t xml:space="preserve">= </w:t>
      </w:r>
      <w:r w:rsidRPr="00E7332E">
        <w:rPr>
          <w:rFonts w:cs="cmmi10"/>
          <w:i/>
          <w:iCs/>
        </w:rPr>
        <w:t>A</w:t>
      </w:r>
      <w:r w:rsidR="00573C47">
        <w:rPr>
          <w:rFonts w:cs="cmmi10"/>
          <w:i/>
          <w:iCs/>
        </w:rPr>
        <w:t>S</w:t>
      </w:r>
      <w:r w:rsidR="00573C47" w:rsidRPr="00573C47">
        <w:rPr>
          <w:rFonts w:cs="cmmi10"/>
          <w:i/>
          <w:iCs/>
          <w:vertAlign w:val="superscript"/>
        </w:rPr>
        <w:t>1/2</w:t>
      </w:r>
      <w:r w:rsidRPr="00E7332E">
        <w:rPr>
          <w:rFonts w:cs="cmmi10"/>
        </w:rPr>
        <w:t>/</w:t>
      </w:r>
      <w:r w:rsidRPr="00E7332E">
        <w:rPr>
          <w:rFonts w:cs="cmmi10"/>
          <w:i/>
          <w:iCs/>
        </w:rPr>
        <w:t>d</w:t>
      </w:r>
      <w:r w:rsidRPr="00E7332E">
        <w:rPr>
          <w:rFonts w:cs="cmr8"/>
          <w:vertAlign w:val="superscript"/>
        </w:rPr>
        <w:t>2</w:t>
      </w:r>
      <w:r w:rsidRPr="00E7332E">
        <w:rPr>
          <w:rFonts w:cs="cmmi10"/>
        </w:rPr>
        <w:t xml:space="preserve">, </w:t>
      </w:r>
      <w:r w:rsidRPr="00E7332E">
        <w:rPr>
          <w:rFonts w:cs="cmr10"/>
        </w:rPr>
        <w:t xml:space="preserve">où la distance de coupure </w:t>
      </w:r>
      <w:r w:rsidR="00581397" w:rsidRPr="00E7332E">
        <w:rPr>
          <w:rFonts w:cs="cmmi10"/>
          <w:i/>
          <w:iCs/>
        </w:rPr>
        <w:t>d</w:t>
      </w:r>
      <w:r w:rsidR="00581397" w:rsidRPr="00E7332E">
        <w:rPr>
          <w:rFonts w:cs="cmr10"/>
        </w:rPr>
        <w:t xml:space="preserve"> </w:t>
      </w:r>
      <w:r w:rsidRPr="00E7332E">
        <w:rPr>
          <w:rFonts w:cs="cmr10"/>
        </w:rPr>
        <w:t xml:space="preserve">vaut </w:t>
      </w:r>
      <w:r w:rsidRPr="00E7332E">
        <w:rPr>
          <w:rFonts w:cs="cmmi10"/>
          <w:i/>
          <w:iCs/>
        </w:rPr>
        <w:t>d</w:t>
      </w:r>
      <w:r w:rsidRPr="00E7332E">
        <w:rPr>
          <w:rFonts w:cs="cmmi10"/>
        </w:rPr>
        <w:t xml:space="preserve"> </w:t>
      </w:r>
      <w:r w:rsidRPr="00E7332E">
        <w:rPr>
          <w:rFonts w:eastAsia="cmsy10" w:cs="cmsy10"/>
        </w:rPr>
        <w:t xml:space="preserve">≈ </w:t>
      </w:r>
      <w:r w:rsidRPr="00E7332E">
        <w:rPr>
          <w:rFonts w:cs="cmr10"/>
        </w:rPr>
        <w:t>0</w:t>
      </w:r>
      <w:r w:rsidRPr="00E7332E">
        <w:rPr>
          <w:rFonts w:cs="cmmi10"/>
        </w:rPr>
        <w:t>.</w:t>
      </w:r>
      <w:r w:rsidRPr="00E7332E">
        <w:rPr>
          <w:rFonts w:cs="cmr10"/>
        </w:rPr>
        <w:t xml:space="preserve">3 nm et la constante de </w:t>
      </w:r>
      <w:proofErr w:type="spellStart"/>
      <w:r w:rsidRPr="00E7332E">
        <w:rPr>
          <w:rFonts w:cs="cmr10"/>
        </w:rPr>
        <w:t>Hamaker</w:t>
      </w:r>
      <w:proofErr w:type="spellEnd"/>
      <w:r w:rsidRPr="00E7332E">
        <w:rPr>
          <w:rFonts w:cs="cmr10"/>
        </w:rPr>
        <w:t xml:space="preserve"> est de l’ordre de l’énergie  thermique, </w:t>
      </w:r>
      <w:r w:rsidRPr="00E7332E">
        <w:rPr>
          <w:rFonts w:cs="cmmi10"/>
          <w:i/>
          <w:iCs/>
        </w:rPr>
        <w:t xml:space="preserve">A </w:t>
      </w:r>
      <w:r w:rsidRPr="00E7332E">
        <w:rPr>
          <w:rFonts w:ascii="Arial" w:eastAsia="cmsy10" w:hAnsi="Arial" w:cs="Arial"/>
        </w:rPr>
        <w:t>=</w:t>
      </w:r>
      <w:r w:rsidRPr="00E7332E">
        <w:rPr>
          <w:rFonts w:eastAsia="cmsy10" w:cs="cmsy10"/>
        </w:rPr>
        <w:t xml:space="preserve"> </w:t>
      </w:r>
      <w:proofErr w:type="spellStart"/>
      <w:r w:rsidRPr="00E7332E">
        <w:rPr>
          <w:rFonts w:cs="cmmi10"/>
        </w:rPr>
        <w:t>k</w:t>
      </w:r>
      <w:r w:rsidRPr="00E7332E">
        <w:rPr>
          <w:rFonts w:cs="cmmi8"/>
          <w:vertAlign w:val="subscript"/>
        </w:rPr>
        <w:t>B</w:t>
      </w:r>
      <w:r w:rsidRPr="00E7332E">
        <w:rPr>
          <w:rFonts w:cs="cmmi10"/>
          <w:i/>
          <w:iCs/>
        </w:rPr>
        <w:t>T</w:t>
      </w:r>
      <w:proofErr w:type="spellEnd"/>
      <w:r w:rsidRPr="00E7332E">
        <w:rPr>
          <w:rFonts w:cs="cmr10"/>
        </w:rPr>
        <w:t xml:space="preserve">. </w:t>
      </w:r>
    </w:p>
    <w:p w:rsidR="00E7332E" w:rsidRPr="00E7332E" w:rsidRDefault="00E7332E" w:rsidP="00735A23">
      <w:pPr>
        <w:pStyle w:val="Paragraphedeliste"/>
        <w:numPr>
          <w:ilvl w:val="2"/>
          <w:numId w:val="1"/>
        </w:numPr>
        <w:autoSpaceDE w:val="0"/>
        <w:jc w:val="both"/>
        <w:rPr>
          <w:rFonts w:cs="cmr10"/>
        </w:rPr>
      </w:pPr>
      <w:r w:rsidRPr="00E7332E">
        <w:rPr>
          <w:rFonts w:cs="cmr10"/>
        </w:rPr>
        <w:t xml:space="preserve">A la température ambiante, exprimer </w:t>
      </w:r>
      <w:r w:rsidRPr="00581397">
        <w:rPr>
          <w:rFonts w:cs="cmmi10"/>
          <w:i/>
        </w:rPr>
        <w:t>A</w:t>
      </w:r>
      <w:r w:rsidRPr="00E7332E">
        <w:rPr>
          <w:rFonts w:cs="cmmi10"/>
        </w:rPr>
        <w:t xml:space="preserve"> </w:t>
      </w:r>
      <w:r w:rsidRPr="00E7332E">
        <w:rPr>
          <w:rFonts w:cs="cmr10"/>
        </w:rPr>
        <w:t>en Joule (</w:t>
      </w:r>
      <w:proofErr w:type="spellStart"/>
      <w:r w:rsidRPr="00581397">
        <w:rPr>
          <w:rFonts w:cs="cmmi10"/>
          <w:i/>
        </w:rPr>
        <w:t>k</w:t>
      </w:r>
      <w:r w:rsidRPr="00581397">
        <w:rPr>
          <w:rFonts w:cs="cmmi8"/>
          <w:i/>
          <w:vertAlign w:val="subscript"/>
        </w:rPr>
        <w:t>B</w:t>
      </w:r>
      <w:proofErr w:type="spellEnd"/>
      <w:r w:rsidRPr="00E7332E">
        <w:rPr>
          <w:rFonts w:cs="cmmi8"/>
        </w:rPr>
        <w:t xml:space="preserve"> </w:t>
      </w:r>
      <w:r w:rsidRPr="00E7332E">
        <w:rPr>
          <w:rFonts w:cs="cmr10"/>
        </w:rPr>
        <w:t>= 1</w:t>
      </w:r>
      <w:r w:rsidRPr="00E7332E">
        <w:rPr>
          <w:rFonts w:cs="cmmi10"/>
        </w:rPr>
        <w:t>.</w:t>
      </w:r>
      <w:r w:rsidRPr="00E7332E">
        <w:rPr>
          <w:rFonts w:cs="cmr10"/>
        </w:rPr>
        <w:t xml:space="preserve">4 </w:t>
      </w:r>
      <w:r w:rsidRPr="00E7332E">
        <w:rPr>
          <w:rFonts w:eastAsia="cmsy10" w:cs="cmsy10"/>
        </w:rPr>
        <w:t xml:space="preserve">× </w:t>
      </w:r>
      <w:r w:rsidRPr="00E7332E">
        <w:rPr>
          <w:rFonts w:cs="cmr10"/>
        </w:rPr>
        <w:t>10</w:t>
      </w:r>
      <w:r w:rsidRPr="00E7332E">
        <w:rPr>
          <w:rFonts w:cs="cmsy8"/>
          <w:vertAlign w:val="superscript"/>
        </w:rPr>
        <w:t>−</w:t>
      </w:r>
      <w:r w:rsidRPr="00E7332E">
        <w:rPr>
          <w:rFonts w:cs="cmr8"/>
          <w:vertAlign w:val="superscript"/>
        </w:rPr>
        <w:t>23</w:t>
      </w:r>
      <w:r w:rsidRPr="00E7332E">
        <w:rPr>
          <w:rFonts w:cs="cmr8"/>
        </w:rPr>
        <w:t xml:space="preserve"> </w:t>
      </w:r>
      <w:r w:rsidRPr="00E7332E">
        <w:rPr>
          <w:rFonts w:cs="cmr10"/>
        </w:rPr>
        <w:t>J/K.).</w:t>
      </w:r>
    </w:p>
    <w:p w:rsidR="00E7332E" w:rsidRPr="00E7332E" w:rsidRDefault="00E7332E" w:rsidP="00735A23">
      <w:pPr>
        <w:pStyle w:val="Paragraphedeliste"/>
        <w:numPr>
          <w:ilvl w:val="2"/>
          <w:numId w:val="1"/>
        </w:numPr>
        <w:autoSpaceDE w:val="0"/>
        <w:jc w:val="both"/>
        <w:rPr>
          <w:rFonts w:cs="cmr10"/>
        </w:rPr>
      </w:pPr>
      <w:r w:rsidRPr="00E7332E">
        <w:rPr>
          <w:rFonts w:cs="cmr10"/>
        </w:rPr>
        <w:t xml:space="preserve"> </w:t>
      </w:r>
      <w:r w:rsidR="00581397">
        <w:rPr>
          <w:rFonts w:cs="cmr10"/>
        </w:rPr>
        <w:t xml:space="preserve">En première approximation, on ne tient pas compte de la hiérarchie et considère juste que les </w:t>
      </w:r>
      <w:r w:rsidR="00FF2796">
        <w:rPr>
          <w:rFonts w:cs="cmr10"/>
        </w:rPr>
        <w:t>doigts</w:t>
      </w:r>
      <w:r w:rsidR="00581397">
        <w:rPr>
          <w:rFonts w:cs="cmr10"/>
        </w:rPr>
        <w:t xml:space="preserve"> du gecko sont recouverts</w:t>
      </w:r>
      <w:r>
        <w:rPr>
          <w:rFonts w:cs="cmr10"/>
        </w:rPr>
        <w:t xml:space="preserve"> de </w:t>
      </w:r>
      <w:proofErr w:type="spellStart"/>
      <w:r>
        <w:rPr>
          <w:rFonts w:cs="cmr10"/>
        </w:rPr>
        <w:t>lamellae</w:t>
      </w:r>
      <w:proofErr w:type="spellEnd"/>
      <w:r w:rsidR="00581397">
        <w:rPr>
          <w:rFonts w:cs="cmr10"/>
        </w:rPr>
        <w:t>.</w:t>
      </w:r>
      <w:r>
        <w:rPr>
          <w:rFonts w:cs="cmr10"/>
        </w:rPr>
        <w:t xml:space="preserve"> </w:t>
      </w:r>
      <w:r w:rsidR="00581397">
        <w:rPr>
          <w:rFonts w:cs="cmr10"/>
        </w:rPr>
        <w:t>Un</w:t>
      </w:r>
      <w:r>
        <w:rPr>
          <w:rFonts w:cs="cmr10"/>
        </w:rPr>
        <w:t xml:space="preserve"> </w:t>
      </w:r>
      <w:r w:rsidR="00FF2796">
        <w:rPr>
          <w:rFonts w:cs="cmr10"/>
        </w:rPr>
        <w:t>doigt</w:t>
      </w:r>
      <w:r>
        <w:rPr>
          <w:rFonts w:cs="cmr10"/>
        </w:rPr>
        <w:t xml:space="preserve"> du gecko </w:t>
      </w:r>
      <w:r w:rsidR="00E34973">
        <w:rPr>
          <w:rFonts w:cs="cmr10"/>
        </w:rPr>
        <w:t>contient</w:t>
      </w:r>
      <w:r w:rsidRPr="00E7332E">
        <w:rPr>
          <w:rFonts w:cs="cmr10"/>
        </w:rPr>
        <w:t xml:space="preserve"> </w:t>
      </w:r>
      <w:r w:rsidRPr="00E7332E">
        <w:rPr>
          <w:rFonts w:cs="cmmi10"/>
          <w:i/>
          <w:iCs/>
        </w:rPr>
        <w:t>N</w:t>
      </w:r>
      <w:r w:rsidRPr="00E7332E">
        <w:rPr>
          <w:rFonts w:cs="cmmi10"/>
        </w:rPr>
        <w:t xml:space="preserve"> </w:t>
      </w:r>
      <w:proofErr w:type="spellStart"/>
      <w:r w:rsidR="00E34973">
        <w:rPr>
          <w:rFonts w:cs="cmmi10"/>
        </w:rPr>
        <w:t>lamellae</w:t>
      </w:r>
      <w:proofErr w:type="spellEnd"/>
      <w:r w:rsidRPr="00E7332E">
        <w:rPr>
          <w:rFonts w:cs="cmr10"/>
        </w:rPr>
        <w:t xml:space="preserve">. </w:t>
      </w:r>
      <w:r w:rsidR="00FF2796">
        <w:rPr>
          <w:rFonts w:cs="cmr10"/>
        </w:rPr>
        <w:t xml:space="preserve">On considère les </w:t>
      </w:r>
      <w:proofErr w:type="spellStart"/>
      <w:r w:rsidR="00FF2796">
        <w:rPr>
          <w:rFonts w:cs="cmr10"/>
        </w:rPr>
        <w:t>lamellae</w:t>
      </w:r>
      <w:proofErr w:type="spellEnd"/>
      <w:r w:rsidR="00FF2796">
        <w:rPr>
          <w:rFonts w:cs="cmr10"/>
        </w:rPr>
        <w:t xml:space="preserve"> comme des petits cylindres.</w:t>
      </w:r>
      <w:r w:rsidRPr="00E7332E">
        <w:rPr>
          <w:rFonts w:cs="cmr10"/>
        </w:rPr>
        <w:t xml:space="preserve"> Estimer</w:t>
      </w:r>
      <w:r w:rsidRPr="00E7332E">
        <w:rPr>
          <w:rFonts w:cs="cmr10"/>
          <w:i/>
          <w:iCs/>
        </w:rPr>
        <w:t xml:space="preserve"> </w:t>
      </w:r>
      <w:r w:rsidRPr="00E7332E">
        <w:rPr>
          <w:rFonts w:cs="cmmi10"/>
          <w:i/>
          <w:iCs/>
        </w:rPr>
        <w:t>N</w:t>
      </w:r>
      <w:r w:rsidRPr="00E7332E">
        <w:rPr>
          <w:rFonts w:cs="cmmi10"/>
        </w:rPr>
        <w:t xml:space="preserve"> </w:t>
      </w:r>
      <w:r w:rsidRPr="00E7332E">
        <w:rPr>
          <w:rFonts w:cs="cmr10"/>
        </w:rPr>
        <w:t>et</w:t>
      </w:r>
      <w:r w:rsidR="00581397">
        <w:rPr>
          <w:rFonts w:cs="cmr10"/>
        </w:rPr>
        <w:t xml:space="preserve"> la surface </w:t>
      </w:r>
      <w:r w:rsidR="00573C47">
        <w:rPr>
          <w:rFonts w:cs="cmmi10"/>
          <w:i/>
          <w:iCs/>
        </w:rPr>
        <w:t>S</w:t>
      </w:r>
      <w:r>
        <w:rPr>
          <w:rFonts w:cs="cmmi10"/>
          <w:i/>
          <w:iCs/>
        </w:rPr>
        <w:t xml:space="preserve"> </w:t>
      </w:r>
      <w:r w:rsidR="00581397">
        <w:rPr>
          <w:rFonts w:cs="cmmi10"/>
          <w:iCs/>
        </w:rPr>
        <w:t xml:space="preserve">d’une </w:t>
      </w:r>
      <w:proofErr w:type="spellStart"/>
      <w:r w:rsidR="00581397">
        <w:rPr>
          <w:rFonts w:cs="cmmi10"/>
          <w:iCs/>
        </w:rPr>
        <w:t>lamellae</w:t>
      </w:r>
      <w:proofErr w:type="spellEnd"/>
      <w:r w:rsidR="00581397">
        <w:rPr>
          <w:rFonts w:cs="cmmi10"/>
          <w:iCs/>
        </w:rPr>
        <w:t xml:space="preserve"> </w:t>
      </w:r>
      <w:r w:rsidRPr="00581397">
        <w:rPr>
          <w:rFonts w:cs="cmmi10"/>
          <w:iCs/>
        </w:rPr>
        <w:t>(</w:t>
      </w:r>
      <w:r w:rsidRPr="00E7332E">
        <w:rPr>
          <w:rFonts w:cs="cmmi10"/>
          <w:iCs/>
        </w:rPr>
        <w:t>voir figure 2</w:t>
      </w:r>
      <w:r>
        <w:rPr>
          <w:rFonts w:cs="cmmi10"/>
          <w:i/>
          <w:iCs/>
        </w:rPr>
        <w:t>)</w:t>
      </w:r>
      <w:r w:rsidRPr="00E7332E">
        <w:rPr>
          <w:rFonts w:cs="cmr10"/>
        </w:rPr>
        <w:t xml:space="preserve">. </w:t>
      </w:r>
      <w:r>
        <w:rPr>
          <w:rFonts w:cs="cmr10"/>
        </w:rPr>
        <w:t xml:space="preserve">En déduire la force de </w:t>
      </w:r>
      <w:proofErr w:type="spellStart"/>
      <w:r>
        <w:rPr>
          <w:rFonts w:cs="cmr10"/>
        </w:rPr>
        <w:t>VdW</w:t>
      </w:r>
      <w:proofErr w:type="spellEnd"/>
      <w:r>
        <w:rPr>
          <w:rFonts w:cs="cmr10"/>
        </w:rPr>
        <w:t xml:space="preserve"> </w:t>
      </w:r>
      <w:r w:rsidR="00FF2796">
        <w:rPr>
          <w:rFonts w:cs="cmr10"/>
        </w:rPr>
        <w:t xml:space="preserve">sur une patte </w:t>
      </w:r>
      <w:r>
        <w:rPr>
          <w:rFonts w:cs="cmr10"/>
        </w:rPr>
        <w:t>et comparer au poids du gecko que vous estimerez.</w:t>
      </w:r>
    </w:p>
    <w:p w:rsidR="00E34973" w:rsidRPr="00E34973" w:rsidRDefault="00E34973" w:rsidP="00735A23">
      <w:pPr>
        <w:pStyle w:val="Paragraphedeliste"/>
        <w:numPr>
          <w:ilvl w:val="2"/>
          <w:numId w:val="1"/>
        </w:numPr>
        <w:autoSpaceDE w:val="0"/>
        <w:jc w:val="both"/>
      </w:pPr>
      <w:r>
        <w:rPr>
          <w:rFonts w:cs="cmr10"/>
        </w:rPr>
        <w:t xml:space="preserve">Calculez la force d’adhésion d’une </w:t>
      </w:r>
      <w:proofErr w:type="spellStart"/>
      <w:r>
        <w:rPr>
          <w:rFonts w:cs="cmr10"/>
        </w:rPr>
        <w:t>spatula</w:t>
      </w:r>
      <w:proofErr w:type="spellEnd"/>
      <w:r>
        <w:rPr>
          <w:rFonts w:cs="cmr10"/>
        </w:rPr>
        <w:t xml:space="preserve"> unique. Comparez à la valeur mesurée dans l’article.</w:t>
      </w:r>
    </w:p>
    <w:p w:rsidR="00E7332E" w:rsidRPr="00E7332E" w:rsidRDefault="00E34973" w:rsidP="00735A23">
      <w:pPr>
        <w:pStyle w:val="Paragraphedeliste"/>
        <w:numPr>
          <w:ilvl w:val="2"/>
          <w:numId w:val="1"/>
        </w:numPr>
        <w:autoSpaceDE w:val="0"/>
        <w:jc w:val="both"/>
      </w:pPr>
      <w:r>
        <w:rPr>
          <w:rFonts w:cs="cmr10"/>
        </w:rPr>
        <w:lastRenderedPageBreak/>
        <w:t>En déduire la force totale</w:t>
      </w:r>
      <w:r w:rsidR="00E7332E">
        <w:rPr>
          <w:rFonts w:cs="cmr10"/>
        </w:rPr>
        <w:t xml:space="preserve"> en prenant en compte toute la hiérarchie</w:t>
      </w:r>
      <w:r w:rsidR="00FF2796">
        <w:rPr>
          <w:rFonts w:cs="cmr10"/>
        </w:rPr>
        <w:t xml:space="preserve"> (</w:t>
      </w:r>
      <w:r w:rsidR="009B4E00">
        <w:rPr>
          <w:rFonts w:cs="cmr10"/>
        </w:rPr>
        <w:t xml:space="preserve">N </w:t>
      </w:r>
      <w:proofErr w:type="spellStart"/>
      <w:r w:rsidR="009B4E00">
        <w:rPr>
          <w:rFonts w:cs="cmr10"/>
        </w:rPr>
        <w:t>lamella</w:t>
      </w:r>
      <w:proofErr w:type="spellEnd"/>
      <w:r w:rsidR="009B4E00">
        <w:rPr>
          <w:rFonts w:cs="cmr10"/>
        </w:rPr>
        <w:t xml:space="preserve"> contenant chacune </w:t>
      </w:r>
      <w:r w:rsidR="009B4E00" w:rsidRPr="009B4E00">
        <w:rPr>
          <w:rFonts w:cs="cmr10"/>
          <w:i/>
        </w:rPr>
        <w:t>N</w:t>
      </w:r>
      <w:r w:rsidR="009B4E00" w:rsidRPr="009B4E00">
        <w:rPr>
          <w:rFonts w:cs="cmr10"/>
          <w:vertAlign w:val="subscript"/>
        </w:rPr>
        <w:t>1</w:t>
      </w:r>
      <w:r w:rsidR="009B4E00">
        <w:rPr>
          <w:rFonts w:cs="cmr10"/>
        </w:rPr>
        <w:t xml:space="preserve"> </w:t>
      </w:r>
      <w:r w:rsidR="003844A5">
        <w:rPr>
          <w:rFonts w:cs="cmr10"/>
        </w:rPr>
        <w:t>=10</w:t>
      </w:r>
      <w:r w:rsidR="003844A5" w:rsidRPr="003844A5">
        <w:rPr>
          <w:rFonts w:cs="cmr10"/>
          <w:vertAlign w:val="superscript"/>
        </w:rPr>
        <w:t>5</w:t>
      </w:r>
      <w:r w:rsidR="009B4E00">
        <w:rPr>
          <w:rFonts w:cs="cmr10"/>
        </w:rPr>
        <w:t xml:space="preserve">seta, séparées en </w:t>
      </w:r>
      <w:r w:rsidR="009B4E00" w:rsidRPr="009B4E00">
        <w:rPr>
          <w:rFonts w:cs="cmr10"/>
          <w:i/>
        </w:rPr>
        <w:t>N</w:t>
      </w:r>
      <w:r w:rsidR="009B4E00" w:rsidRPr="009B4E00">
        <w:rPr>
          <w:rFonts w:cs="cmr10"/>
          <w:vertAlign w:val="subscript"/>
        </w:rPr>
        <w:t>2</w:t>
      </w:r>
      <w:r w:rsidR="009B4E00">
        <w:rPr>
          <w:rFonts w:cs="cmr10"/>
        </w:rPr>
        <w:t xml:space="preserve"> </w:t>
      </w:r>
      <w:proofErr w:type="spellStart"/>
      <w:r w:rsidR="00FF2796">
        <w:rPr>
          <w:rFonts w:cs="cmr10"/>
        </w:rPr>
        <w:t>spatula</w:t>
      </w:r>
      <w:proofErr w:type="spellEnd"/>
      <w:r w:rsidR="00FF2796">
        <w:rPr>
          <w:rFonts w:cs="cmr10"/>
        </w:rPr>
        <w:t>)</w:t>
      </w:r>
      <w:r w:rsidR="00E7332E">
        <w:rPr>
          <w:rFonts w:cs="cmr10"/>
        </w:rPr>
        <w:t xml:space="preserve">. </w:t>
      </w:r>
      <w:r w:rsidR="00573C47">
        <w:rPr>
          <w:rFonts w:cs="cmr10"/>
        </w:rPr>
        <w:t xml:space="preserve">Calculez le facteur de risque. </w:t>
      </w:r>
      <w:r w:rsidR="009B4E00">
        <w:rPr>
          <w:rFonts w:cs="cmr10"/>
        </w:rPr>
        <w:t xml:space="preserve"> </w:t>
      </w:r>
      <w:r w:rsidR="00573C47">
        <w:rPr>
          <w:rFonts w:cs="cmr10"/>
        </w:rPr>
        <w:t xml:space="preserve">Comparer avec la valeur trouvée dans l’article. </w:t>
      </w:r>
      <w:r w:rsidR="00E7332E">
        <w:rPr>
          <w:rFonts w:cs="cmr10"/>
        </w:rPr>
        <w:t>Conclure.</w:t>
      </w:r>
    </w:p>
    <w:p w:rsidR="00A76C38" w:rsidRDefault="00E7332E" w:rsidP="00735A23">
      <w:pPr>
        <w:pStyle w:val="Paragraphedeliste"/>
        <w:autoSpaceDE w:val="0"/>
        <w:ind w:left="2160"/>
        <w:jc w:val="both"/>
      </w:pPr>
      <w:r>
        <w:t xml:space="preserve"> </w:t>
      </w:r>
    </w:p>
    <w:p w:rsidR="00A76C38" w:rsidRPr="00735A23" w:rsidRDefault="00A76C38" w:rsidP="00735A2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735A23">
        <w:rPr>
          <w:b/>
        </w:rPr>
        <w:t>L’adhésion capillaire</w:t>
      </w:r>
    </w:p>
    <w:p w:rsidR="00573C47" w:rsidRDefault="00573C47" w:rsidP="00735A23">
      <w:pPr>
        <w:pStyle w:val="Paragraphedeliste"/>
        <w:numPr>
          <w:ilvl w:val="1"/>
          <w:numId w:val="1"/>
        </w:numPr>
        <w:jc w:val="both"/>
      </w:pPr>
      <w:r>
        <w:t>Rappeler  ce qu’est la pression de Lapl</w:t>
      </w:r>
      <w:r w:rsidR="009B4E00">
        <w:t>a</w:t>
      </w:r>
      <w:r>
        <w:t xml:space="preserve">ce (thèse Mathilde </w:t>
      </w:r>
      <w:proofErr w:type="spellStart"/>
      <w:r>
        <w:t>Callies</w:t>
      </w:r>
      <w:proofErr w:type="spellEnd"/>
      <w:r>
        <w:t>)</w:t>
      </w:r>
    </w:p>
    <w:p w:rsidR="00573C47" w:rsidRDefault="00590C76" w:rsidP="00735A23">
      <w:pPr>
        <w:pStyle w:val="Paragraphedeliste"/>
        <w:numPr>
          <w:ilvl w:val="1"/>
          <w:numId w:val="1"/>
        </w:numPr>
        <w:jc w:val="both"/>
      </w:pPr>
      <w:r>
        <w:rPr>
          <w:noProof/>
          <w:lang w:eastAsia="fr-FR"/>
        </w:rPr>
        <w:pict>
          <v:group id="_x0000_s1026" style="position:absolute;left:0;text-align:left;margin-left:0;margin-top:2.5pt;width:153pt;height:68.85pt;z-index:251658240" coordorigin="1957,7308" coordsize="7200,3240" o:allowoverlap="f">
            <v:oval id="_x0000_s1027" style="position:absolute;left:5917;top:7308;width:3240;height:3240"/>
            <v:oval id="_x0000_s1028" style="position:absolute;left:1957;top:7308;width:3240;height:3240"/>
            <v:shape id="_x0000_s1029" style="position:absolute;left:5017;top:8208;width:1080;height:360" coordsize="1080,360" path="m,c180,180,360,360,540,360,720,360,900,180,1080,e" filled="f">
              <v:path arrowok="t"/>
            </v:shape>
            <v:shape id="_x0000_s1030" style="position:absolute;left:5017;top:9288;width:1080;height:360;rotation:180;mso-position-horizontal:absolute;mso-position-vertical:absolute" coordsize="1080,360" path="m,c180,180,360,360,540,360,720,360,900,180,1080,e" filled="f">
              <v:path arrowok="t"/>
            </v:shape>
            <w10:wrap type="square"/>
          </v:group>
        </w:pict>
      </w:r>
      <w:r w:rsidR="00573C47">
        <w:t>Expliquer comment un ménisque (voir schéma) entre deux sphères (par exemple deux grains de sable</w:t>
      </w:r>
      <w:r w:rsidR="00D33CA5">
        <w:t xml:space="preserve"> ou une patte de gecko et un solide</w:t>
      </w:r>
      <w:r w:rsidR="00573C47">
        <w:t>) peut exercer une force attractive.</w:t>
      </w:r>
    </w:p>
    <w:p w:rsidR="00573C47" w:rsidRDefault="00573C47" w:rsidP="00573C47">
      <w:pPr>
        <w:pStyle w:val="Paragraphedeliste"/>
        <w:ind w:left="1440"/>
      </w:pPr>
    </w:p>
    <w:p w:rsidR="00904CFB" w:rsidRDefault="00A76C38" w:rsidP="00904CFB">
      <w:pPr>
        <w:pStyle w:val="Paragraphedeliste"/>
        <w:numPr>
          <w:ilvl w:val="1"/>
          <w:numId w:val="1"/>
        </w:numPr>
        <w:rPr>
          <w:b/>
        </w:rPr>
      </w:pPr>
      <w:r w:rsidRPr="00904CFB">
        <w:rPr>
          <w:b/>
        </w:rPr>
        <w:t>Le château de sable</w:t>
      </w:r>
    </w:p>
    <w:p w:rsidR="00D33CA5" w:rsidRPr="00D33CA5" w:rsidRDefault="007814F8" w:rsidP="00735A23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E0BE60A" wp14:editId="4984D4BD">
            <wp:simplePos x="0" y="0"/>
            <wp:positionH relativeFrom="column">
              <wp:posOffset>4000500</wp:posOffset>
            </wp:positionH>
            <wp:positionV relativeFrom="paragraph">
              <wp:posOffset>65405</wp:posOffset>
            </wp:positionV>
            <wp:extent cx="1779905" cy="19634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énisq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A23">
        <w:t xml:space="preserve">Justifier le fait que la courbure du ménisque est égale à </w:t>
      </w:r>
      <w:r w:rsidR="00735A23" w:rsidRPr="00735A23">
        <w:rPr>
          <w:i/>
        </w:rPr>
        <w:t>t</w:t>
      </w:r>
      <w:r w:rsidR="00735A23">
        <w:t xml:space="preserve">/2 où </w:t>
      </w:r>
      <w:r w:rsidR="00735A23" w:rsidRPr="00D33CA5">
        <w:rPr>
          <w:i/>
        </w:rPr>
        <w:t>t</w:t>
      </w:r>
      <w:r w:rsidR="00735A23">
        <w:t xml:space="preserve"> est l’épaisseur de liquide entre les deux surfaces.</w:t>
      </w:r>
      <w:r w:rsidR="003844A5">
        <w:t xml:space="preserve"> En considérant</w:t>
      </w:r>
      <w:r w:rsidR="00735A23">
        <w:t xml:space="preserve"> un angle de</w:t>
      </w:r>
      <w:r w:rsidR="003844A5">
        <w:t xml:space="preserve"> contact nul (mouillage total) et e</w:t>
      </w:r>
      <w:r w:rsidR="00A70EEA">
        <w:t>n prenant en compte la pression de Laplace du ménisque, retrouver la formule (18) de l’article « </w:t>
      </w:r>
      <w:proofErr w:type="spellStart"/>
      <w:r w:rsidR="00A70EEA">
        <w:t>Toward</w:t>
      </w:r>
      <w:proofErr w:type="spellEnd"/>
      <w:r w:rsidR="00A70EEA">
        <w:t xml:space="preserve"> a </w:t>
      </w:r>
      <w:proofErr w:type="spellStart"/>
      <w:r w:rsidR="00A70EEA">
        <w:t>spiderman</w:t>
      </w:r>
      <w:proofErr w:type="spellEnd"/>
      <w:r w:rsidR="00A70EEA">
        <w:t xml:space="preserve"> suit ». </w:t>
      </w:r>
      <w:r w:rsidR="00735A23">
        <w:t xml:space="preserve">Donner </w:t>
      </w:r>
      <w:r w:rsidR="00735A23" w:rsidRPr="00735A23">
        <w:rPr>
          <w:i/>
        </w:rPr>
        <w:t>A</w:t>
      </w:r>
      <w:r w:rsidR="00735A23">
        <w:t xml:space="preserve"> en fonction du diamètre </w:t>
      </w:r>
      <w:r w:rsidR="00735A23" w:rsidRPr="00735A23">
        <w:rPr>
          <w:i/>
        </w:rPr>
        <w:t>l</w:t>
      </w:r>
      <w:r w:rsidR="00735A23">
        <w:t xml:space="preserve"> du ménisque.</w:t>
      </w:r>
    </w:p>
    <w:p w:rsidR="00D33CA5" w:rsidRPr="00D33CA5" w:rsidRDefault="00904CFB" w:rsidP="00735A23">
      <w:pPr>
        <w:pStyle w:val="Paragraphedeliste"/>
        <w:numPr>
          <w:ilvl w:val="0"/>
          <w:numId w:val="3"/>
        </w:numPr>
        <w:jc w:val="both"/>
      </w:pPr>
      <w:r>
        <w:t>Montrer que</w:t>
      </w:r>
      <w:r w:rsidR="00573C47">
        <w:t xml:space="preserve"> le rayon de courbure </w:t>
      </w:r>
      <w:r w:rsidR="00D33CA5" w:rsidRPr="00D33CA5">
        <w:rPr>
          <w:i/>
        </w:rPr>
        <w:t>t/2</w:t>
      </w:r>
      <w:r>
        <w:t xml:space="preserve"> </w:t>
      </w:r>
      <w:r w:rsidR="00573C47">
        <w:t>du ménisque</w:t>
      </w:r>
      <w:r>
        <w:t xml:space="preserve"> est donné par la </w:t>
      </w:r>
      <w:proofErr w:type="gramStart"/>
      <w:r>
        <w:t xml:space="preserve">relation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≈4Rt</m:t>
        </m:r>
      </m:oMath>
      <w:r w:rsidR="00573C47">
        <w:t xml:space="preserve">. </w:t>
      </w:r>
      <w:r w:rsidR="007814F8">
        <w:t xml:space="preserve">Pour cela, on se placera dans le triangle rectangle en gras sur la figure ci-contre et on considérera </w:t>
      </w:r>
      <w:r w:rsidR="007814F8" w:rsidRPr="007814F8">
        <w:rPr>
          <w:i/>
        </w:rPr>
        <w:t>t</w:t>
      </w:r>
      <w:r w:rsidR="007814F8">
        <w:t xml:space="preserve"> petit devant </w:t>
      </w:r>
      <w:r w:rsidR="007814F8" w:rsidRPr="007814F8">
        <w:rPr>
          <w:i/>
        </w:rPr>
        <w:t>R</w:t>
      </w:r>
      <w:r w:rsidR="007814F8">
        <w:t xml:space="preserve"> et </w:t>
      </w:r>
      <w:r w:rsidR="007814F8" w:rsidRPr="007814F8">
        <w:rPr>
          <w:i/>
        </w:rPr>
        <w:t>l</w:t>
      </w:r>
      <w:r w:rsidR="007814F8">
        <w:t>.</w:t>
      </w:r>
      <w:r>
        <w:t xml:space="preserve"> </w:t>
      </w:r>
      <w:r w:rsidR="00A2036C">
        <w:t xml:space="preserve">En déduire que la force d’attraction entre les deux </w:t>
      </w:r>
      <w:r w:rsidR="007814F8">
        <w:t>grains</w:t>
      </w:r>
      <w:r w:rsidR="00A2036C">
        <w:t xml:space="preserve"> peut </w:t>
      </w:r>
      <w:proofErr w:type="gramStart"/>
      <w:r w:rsidR="00A2036C">
        <w:t xml:space="preserve">s’écrire </w:t>
      </w:r>
      <w:proofErr w:type="gramEnd"/>
      <m:oMath>
        <m:r>
          <w:rPr>
            <w:rFonts w:ascii="Cambria Math" w:hAnsi="Cambria Math"/>
          </w:rPr>
          <m:t>F=2πγR</m:t>
        </m:r>
      </m:oMath>
      <w:r w:rsidR="00A2036C">
        <w:rPr>
          <w:rFonts w:eastAsiaTheme="minorEastAsia"/>
        </w:rPr>
        <w:t>.</w:t>
      </w:r>
    </w:p>
    <w:p w:rsidR="00D33CA5" w:rsidRDefault="00D33CA5" w:rsidP="00735A23">
      <w:pPr>
        <w:pStyle w:val="Paragraphedeliste"/>
        <w:numPr>
          <w:ilvl w:val="0"/>
          <w:numId w:val="3"/>
        </w:numPr>
        <w:jc w:val="both"/>
      </w:pPr>
      <w:r>
        <w:t>Calculer</w:t>
      </w:r>
      <w:r w:rsidR="00904CFB">
        <w:t xml:space="preserve"> la force attractive entre les deux grains de sable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eau</m:t>
            </m:r>
          </m:sub>
        </m:sSub>
        <m:r>
          <w:rPr>
            <w:rFonts w:ascii="Cambria Math" w:hAnsi="Cambria Math"/>
          </w:rPr>
          <m:t xml:space="preserve">=73 </m:t>
        </m:r>
      </m:oMath>
      <w:r w:rsidR="00904CFB" w:rsidRPr="00D33CA5">
        <w:rPr>
          <w:rFonts w:eastAsiaTheme="minorEastAsia"/>
        </w:rPr>
        <w:t xml:space="preserve">mN/m et </w:t>
      </w:r>
      <w:r w:rsidR="00904CFB" w:rsidRPr="00D33CA5">
        <w:rPr>
          <w:rFonts w:eastAsiaTheme="minorEastAsia"/>
          <w:i/>
        </w:rPr>
        <w:t>R</w:t>
      </w:r>
      <w:r w:rsidR="00904CFB" w:rsidRPr="00D33CA5">
        <w:rPr>
          <w:rFonts w:eastAsiaTheme="minorEastAsia"/>
        </w:rPr>
        <w:t xml:space="preserve">=100µm). </w:t>
      </w:r>
      <w:r w:rsidR="00904CFB">
        <w:t xml:space="preserve">Comparer au poids d’un grain de sable (densité 2). En déduire </w:t>
      </w:r>
      <w:r w:rsidR="007814F8">
        <w:t>le nombre de grains que peut contenir une colonne de grains de sables qui tiennent les uns aux autres par adhésion capillaire.</w:t>
      </w:r>
    </w:p>
    <w:p w:rsidR="00904CFB" w:rsidRPr="00904CFB" w:rsidRDefault="00904CFB" w:rsidP="00735A23">
      <w:pPr>
        <w:pStyle w:val="Paragraphedeliste"/>
        <w:ind w:left="1440"/>
        <w:jc w:val="both"/>
      </w:pPr>
    </w:p>
    <w:p w:rsidR="00D33CA5" w:rsidRPr="00581397" w:rsidRDefault="00D33CA5" w:rsidP="00A76C38">
      <w:pPr>
        <w:pStyle w:val="Paragraphedeliste"/>
        <w:numPr>
          <w:ilvl w:val="1"/>
          <w:numId w:val="1"/>
        </w:numPr>
        <w:rPr>
          <w:b/>
          <w:lang w:val="en-US"/>
        </w:rPr>
      </w:pPr>
      <w:r w:rsidRPr="00581397">
        <w:rPr>
          <w:b/>
          <w:lang w:val="en-US"/>
        </w:rPr>
        <w:t>Le gecko</w:t>
      </w:r>
      <w:r w:rsidR="00A2036C" w:rsidRPr="00581397">
        <w:rPr>
          <w:b/>
          <w:lang w:val="en-US"/>
        </w:rPr>
        <w:t xml:space="preserve"> (« Toward a </w:t>
      </w:r>
      <w:proofErr w:type="spellStart"/>
      <w:r w:rsidR="00A2036C" w:rsidRPr="00581397">
        <w:rPr>
          <w:b/>
          <w:lang w:val="en-US"/>
        </w:rPr>
        <w:t>spiderman</w:t>
      </w:r>
      <w:proofErr w:type="spellEnd"/>
      <w:r w:rsidR="00A2036C" w:rsidRPr="00581397">
        <w:rPr>
          <w:b/>
          <w:lang w:val="en-US"/>
        </w:rPr>
        <w:t xml:space="preserve"> suit » p11-12)</w:t>
      </w:r>
    </w:p>
    <w:p w:rsidR="007814F8" w:rsidRDefault="00A2036C" w:rsidP="00A2036C">
      <w:pPr>
        <w:pStyle w:val="Paragraphedeliste"/>
        <w:numPr>
          <w:ilvl w:val="2"/>
          <w:numId w:val="1"/>
        </w:numPr>
      </w:pPr>
      <w:r>
        <w:t xml:space="preserve">Expliquer comment le gecko (ou d’autres animaux) peut utiliser l’adhésion capillaire pour grimper au plafond. </w:t>
      </w:r>
    </w:p>
    <w:p w:rsidR="00A2036C" w:rsidRDefault="00A2036C" w:rsidP="00A2036C">
      <w:pPr>
        <w:pStyle w:val="Paragraphedeliste"/>
        <w:numPr>
          <w:ilvl w:val="2"/>
          <w:numId w:val="1"/>
        </w:numPr>
      </w:pPr>
      <w:r>
        <w:t xml:space="preserve">Calculer, à partir de la force calculée à la question </w:t>
      </w:r>
      <w:proofErr w:type="gramStart"/>
      <w:r w:rsidR="00AB48BC">
        <w:t>c</w:t>
      </w:r>
      <w:r>
        <w:t>(</w:t>
      </w:r>
      <w:proofErr w:type="gramEnd"/>
      <w:r>
        <w:t xml:space="preserve">ii), la force d’adhésion d’une </w:t>
      </w:r>
      <w:proofErr w:type="spellStart"/>
      <w:r>
        <w:t>spatula</w:t>
      </w:r>
      <w:proofErr w:type="spellEnd"/>
      <w:r>
        <w:t xml:space="preserve"> (On trouvera la tension de surface utilisée et la taille des </w:t>
      </w:r>
      <w:proofErr w:type="spellStart"/>
      <w:r>
        <w:t>spatula</w:t>
      </w:r>
      <w:proofErr w:type="spellEnd"/>
      <w:r>
        <w:t xml:space="preserve"> dans l’article « </w:t>
      </w:r>
      <w:proofErr w:type="spellStart"/>
      <w:r>
        <w:t>Toward</w:t>
      </w:r>
      <w:proofErr w:type="spellEnd"/>
      <w:r>
        <w:t xml:space="preserve"> a </w:t>
      </w:r>
      <w:proofErr w:type="spellStart"/>
      <w:r>
        <w:t>spiderman</w:t>
      </w:r>
      <w:proofErr w:type="spellEnd"/>
      <w:r>
        <w:t xml:space="preserve"> suit »</w:t>
      </w:r>
      <w:r w:rsidR="00AB48BC">
        <w:t xml:space="preserve"> p11 et p2 respectivement</w:t>
      </w:r>
      <w:r>
        <w:t>).</w:t>
      </w:r>
    </w:p>
    <w:p w:rsidR="00A2036C" w:rsidRDefault="00A2036C" w:rsidP="00A2036C">
      <w:pPr>
        <w:pStyle w:val="Paragraphedeliste"/>
        <w:numPr>
          <w:ilvl w:val="2"/>
          <w:numId w:val="1"/>
        </w:numPr>
      </w:pPr>
      <w:r>
        <w:t>Comparer cette valeur à celle calculée dans l’article avec la force capillaire mesurée (p3).</w:t>
      </w:r>
    </w:p>
    <w:p w:rsidR="00A2036C" w:rsidRDefault="00A2036C" w:rsidP="00D01AEE">
      <w:pPr>
        <w:pStyle w:val="Paragraphedeliste"/>
        <w:numPr>
          <w:ilvl w:val="2"/>
          <w:numId w:val="1"/>
        </w:numPr>
      </w:pPr>
      <w:r>
        <w:t>Commentez l’équation (25) de l’article « </w:t>
      </w:r>
      <w:proofErr w:type="spellStart"/>
      <w:r>
        <w:t>Toward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spiderman</w:t>
      </w:r>
      <w:proofErr w:type="spellEnd"/>
      <w:r>
        <w:t xml:space="preserve"> suit ».</w:t>
      </w:r>
    </w:p>
    <w:p w:rsidR="00A76C38" w:rsidRDefault="00A76C38" w:rsidP="00A76C38">
      <w:pPr>
        <w:pStyle w:val="Paragraphedeliste"/>
        <w:ind w:left="1440"/>
      </w:pPr>
    </w:p>
    <w:p w:rsidR="008809F3" w:rsidRDefault="008809F3" w:rsidP="00A76C38">
      <w:pPr>
        <w:pStyle w:val="Paragraphedeliste"/>
        <w:numPr>
          <w:ilvl w:val="0"/>
          <w:numId w:val="1"/>
        </w:numPr>
      </w:pPr>
      <w:r w:rsidRPr="009A3D25">
        <w:rPr>
          <w:b/>
        </w:rPr>
        <w:t xml:space="preserve">La </w:t>
      </w:r>
      <w:proofErr w:type="spellStart"/>
      <w:r w:rsidRPr="009A3D25">
        <w:rPr>
          <w:b/>
        </w:rPr>
        <w:t>superhydrophobie</w:t>
      </w:r>
      <w:proofErr w:type="spellEnd"/>
      <w:r w:rsidRPr="009A3D25">
        <w:rPr>
          <w:b/>
        </w:rPr>
        <w:t xml:space="preserve"> et l’</w:t>
      </w:r>
      <w:proofErr w:type="spellStart"/>
      <w:r w:rsidRPr="009A3D25">
        <w:rPr>
          <w:b/>
        </w:rPr>
        <w:t>autonettoyage</w:t>
      </w:r>
      <w:proofErr w:type="spellEnd"/>
      <w:r w:rsidR="00A70EEA">
        <w:t xml:space="preserve"> (thèse M. </w:t>
      </w:r>
      <w:proofErr w:type="spellStart"/>
      <w:r w:rsidR="00A70EEA">
        <w:t>Callies</w:t>
      </w:r>
      <w:proofErr w:type="spellEnd"/>
      <w:r w:rsidR="00A2036C">
        <w:t xml:space="preserve"> et paragraphe 4 de « </w:t>
      </w:r>
      <w:proofErr w:type="spellStart"/>
      <w:r w:rsidR="00A2036C">
        <w:t>Toward</w:t>
      </w:r>
      <w:proofErr w:type="spellEnd"/>
      <w:r w:rsidR="00A2036C">
        <w:t xml:space="preserve"> a </w:t>
      </w:r>
      <w:proofErr w:type="spellStart"/>
      <w:r w:rsidR="00A2036C">
        <w:t>spiderman</w:t>
      </w:r>
      <w:proofErr w:type="spellEnd"/>
      <w:r w:rsidR="00A2036C">
        <w:t xml:space="preserve"> suit »</w:t>
      </w:r>
      <w:r w:rsidR="00A70EEA">
        <w:t>)</w:t>
      </w:r>
    </w:p>
    <w:p w:rsidR="008809F3" w:rsidRDefault="00A70EEA" w:rsidP="008809F3">
      <w:pPr>
        <w:pStyle w:val="Paragraphedeliste"/>
        <w:numPr>
          <w:ilvl w:val="1"/>
          <w:numId w:val="1"/>
        </w:numPr>
      </w:pPr>
      <w:r>
        <w:t>Rappeler l’équation principale du mouillage : l’équation d’Young.</w:t>
      </w:r>
      <w:r w:rsidR="00A2036C">
        <w:t xml:space="preserve"> Définir l’angle de contact.</w:t>
      </w:r>
    </w:p>
    <w:p w:rsidR="00D01AEE" w:rsidRDefault="00A70EEA" w:rsidP="008809F3">
      <w:pPr>
        <w:pStyle w:val="Paragraphedeliste"/>
        <w:numPr>
          <w:ilvl w:val="1"/>
          <w:numId w:val="1"/>
        </w:numPr>
      </w:pPr>
      <w:r>
        <w:t xml:space="preserve">Donner la définition de la rugosité </w:t>
      </w:r>
      <w:r w:rsidRPr="00A2036C">
        <w:rPr>
          <w:i/>
        </w:rPr>
        <w:t>r</w:t>
      </w:r>
      <w:r>
        <w:t xml:space="preserve"> d’une surface. </w:t>
      </w:r>
    </w:p>
    <w:p w:rsidR="00D01AEE" w:rsidRDefault="00D01AEE" w:rsidP="00D01AEE">
      <w:pPr>
        <w:pStyle w:val="Paragraphedeliste"/>
        <w:numPr>
          <w:ilvl w:val="1"/>
          <w:numId w:val="1"/>
        </w:numPr>
      </w:pPr>
      <w:r>
        <w:lastRenderedPageBreak/>
        <w:t>Qu’</w:t>
      </w:r>
      <w:proofErr w:type="spellStart"/>
      <w:r>
        <w:t>est ce</w:t>
      </w:r>
      <w:proofErr w:type="spellEnd"/>
      <w:r>
        <w:t xml:space="preserve"> que l’effet lotus ? Pourquoi cet effet s’appelle-t-il </w:t>
      </w:r>
      <w:proofErr w:type="spellStart"/>
      <w:r>
        <w:t>superhydrophobie</w:t>
      </w:r>
      <w:proofErr w:type="spellEnd"/>
      <w:r>
        <w:t> ? Qu’est ce qu’une goutte « fakir ? » Pourquoi les appelle-t-on comme ça ?</w:t>
      </w:r>
    </w:p>
    <w:p w:rsidR="008809F3" w:rsidRDefault="00D01AEE" w:rsidP="008809F3">
      <w:pPr>
        <w:pStyle w:val="Paragraphedeliste"/>
        <w:numPr>
          <w:ilvl w:val="1"/>
          <w:numId w:val="1"/>
        </w:numPr>
      </w:pPr>
      <w:r>
        <w:t xml:space="preserve">Expliquer </w:t>
      </w:r>
      <w:proofErr w:type="spellStart"/>
      <w:r>
        <w:t>qualitatitivement</w:t>
      </w:r>
      <w:proofErr w:type="spellEnd"/>
      <w:r>
        <w:t xml:space="preserve"> le modèle de Wenzel et celui de Cassie-Baxter. </w:t>
      </w:r>
      <w:r w:rsidR="00A70EEA">
        <w:t>Qu’est ce qui change concernant le mouillage en présence de cette rugosité ?</w:t>
      </w:r>
      <w:r>
        <w:t xml:space="preserve"> Commenter la figure 6 de l’article « </w:t>
      </w:r>
      <w:proofErr w:type="spellStart"/>
      <w:r>
        <w:t>Toward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spiderman</w:t>
      </w:r>
      <w:proofErr w:type="spellEnd"/>
      <w:r>
        <w:t xml:space="preserve"> suit ».</w:t>
      </w:r>
      <w:r w:rsidR="00AB2988">
        <w:t xml:space="preserve"> (p23-27 dans la thèse de M. Cailles)</w:t>
      </w:r>
    </w:p>
    <w:p w:rsidR="00A2036C" w:rsidRDefault="00A2036C" w:rsidP="008809F3">
      <w:pPr>
        <w:pStyle w:val="Paragraphedeliste"/>
        <w:numPr>
          <w:ilvl w:val="1"/>
          <w:numId w:val="1"/>
        </w:numPr>
      </w:pPr>
      <w:r>
        <w:t xml:space="preserve">Quelles peuvent être les applications pratiques de la </w:t>
      </w:r>
      <w:proofErr w:type="spellStart"/>
      <w:r>
        <w:t>superhydrophobie</w:t>
      </w:r>
      <w:proofErr w:type="spellEnd"/>
      <w:r>
        <w:t> ?</w:t>
      </w:r>
      <w:r w:rsidR="005E30F9">
        <w:t xml:space="preserve"> Quel est l’avantage pour le gecko ?</w:t>
      </w:r>
    </w:p>
    <w:p w:rsidR="005E30F9" w:rsidRDefault="009A3D25" w:rsidP="008809F3">
      <w:pPr>
        <w:pStyle w:val="Paragraphedeliste"/>
        <w:numPr>
          <w:ilvl w:val="1"/>
          <w:numId w:val="1"/>
        </w:numPr>
      </w:pPr>
      <w:r>
        <w:t>Pourquoi est-</w:t>
      </w:r>
      <w:r w:rsidR="005E30F9">
        <w:t xml:space="preserve">ce que la </w:t>
      </w:r>
      <w:proofErr w:type="spellStart"/>
      <w:r w:rsidR="005E30F9">
        <w:t>superhydrophobie</w:t>
      </w:r>
      <w:proofErr w:type="spellEnd"/>
      <w:r w:rsidR="005E30F9">
        <w:t xml:space="preserve"> et l’adhésion </w:t>
      </w:r>
      <w:r w:rsidR="00AB2988">
        <w:t xml:space="preserve">capillaire </w:t>
      </w:r>
      <w:r w:rsidR="005E30F9">
        <w:t>semblent contradictoires ?</w:t>
      </w:r>
    </w:p>
    <w:p w:rsidR="005E30F9" w:rsidRDefault="005E30F9" w:rsidP="008809F3">
      <w:pPr>
        <w:pStyle w:val="Paragraphedeliste"/>
        <w:numPr>
          <w:ilvl w:val="1"/>
          <w:numId w:val="1"/>
        </w:numPr>
      </w:pPr>
      <w:r>
        <w:t xml:space="preserve">Sans rentrer dans le détail des calculs, expliquer comment les auteurs lèvent cette </w:t>
      </w:r>
      <w:r w:rsidR="00590C76">
        <w:t xml:space="preserve"> </w:t>
      </w:r>
      <w:bookmarkStart w:id="0" w:name="_GoBack"/>
      <w:bookmarkEnd w:id="0"/>
      <w:r>
        <w:t>contradiction.</w:t>
      </w:r>
    </w:p>
    <w:p w:rsidR="00A70EEA" w:rsidRDefault="00A70EEA" w:rsidP="00A70EEA">
      <w:pPr>
        <w:pStyle w:val="Paragraphedeliste"/>
        <w:ind w:left="1440"/>
      </w:pPr>
    </w:p>
    <w:p w:rsidR="008809F3" w:rsidRDefault="008809F3" w:rsidP="008809F3">
      <w:pPr>
        <w:pStyle w:val="Paragraphedeliste"/>
        <w:numPr>
          <w:ilvl w:val="0"/>
          <w:numId w:val="1"/>
        </w:numPr>
      </w:pPr>
      <w:r w:rsidRPr="00C974D7">
        <w:rPr>
          <w:b/>
        </w:rPr>
        <w:t>Discussion de l’article</w:t>
      </w:r>
    </w:p>
    <w:p w:rsidR="00A70EEA" w:rsidRDefault="00A70EEA" w:rsidP="008809F3">
      <w:pPr>
        <w:pStyle w:val="Paragraphedeliste"/>
        <w:numPr>
          <w:ilvl w:val="1"/>
          <w:numId w:val="1"/>
        </w:numPr>
      </w:pPr>
      <w:r>
        <w:t xml:space="preserve">Vous semble-t-il que les chercheurs ont discriminé l’effet des forces de </w:t>
      </w:r>
      <w:proofErr w:type="spellStart"/>
      <w:r>
        <w:t>VdW</w:t>
      </w:r>
      <w:proofErr w:type="spellEnd"/>
      <w:r>
        <w:t xml:space="preserve"> et celui des forces capillaires ?</w:t>
      </w:r>
    </w:p>
    <w:p w:rsidR="00A70EEA" w:rsidRDefault="00A70EEA" w:rsidP="00A70EEA">
      <w:pPr>
        <w:pStyle w:val="Paragraphedeliste"/>
        <w:numPr>
          <w:ilvl w:val="1"/>
          <w:numId w:val="1"/>
        </w:numPr>
      </w:pPr>
      <w:r>
        <w:t>Quelles sont les expériences qu’il faudrait faire (et qui sont parfois suggérées dans l’article « L’inusable adhésif des pattes du gecko » pour pouvoir vérifier quelles sont les forces en jeu ?</w:t>
      </w:r>
      <w:r w:rsidR="009A3D25">
        <w:t>)</w:t>
      </w:r>
    </w:p>
    <w:p w:rsidR="00A70EEA" w:rsidRDefault="00A70EEA" w:rsidP="00A70EEA">
      <w:pPr>
        <w:pStyle w:val="Paragraphedeliste"/>
        <w:numPr>
          <w:ilvl w:val="1"/>
          <w:numId w:val="1"/>
        </w:numPr>
      </w:pPr>
      <w:r>
        <w:t>Dans tous les mécanismes décrits ci-dessus, toutes les forces sont réversibles (il n’y a pas de dissipation d’énergie</w:t>
      </w:r>
      <w:r w:rsidR="009A3D25">
        <w:t>)</w:t>
      </w:r>
      <w:r>
        <w:t>. Cela vous semble-t-il réaliste ? Quelles conséquences cela peut-il avoir ? Citer des mécanismes de dissipation d’énergie. Lesquels pourraient être en jeu en ce qui concerne l’adhésion du gecko ?</w:t>
      </w:r>
    </w:p>
    <w:p w:rsidR="00446D58" w:rsidRDefault="00446D58" w:rsidP="00A70EEA">
      <w:pPr>
        <w:pStyle w:val="Paragraphedeliste"/>
        <w:numPr>
          <w:ilvl w:val="1"/>
          <w:numId w:val="1"/>
        </w:numPr>
      </w:pPr>
      <w:r>
        <w:t xml:space="preserve">Que pensez-vous des ordres de grandeur proposés pour la fabrication de gants </w:t>
      </w:r>
      <w:proofErr w:type="spellStart"/>
      <w:r>
        <w:t>repositionables</w:t>
      </w:r>
      <w:proofErr w:type="spellEnd"/>
      <w:r>
        <w:t xml:space="preserve"> pouvant supporter un être humain (</w:t>
      </w:r>
      <w:proofErr w:type="spellStart"/>
      <w:r>
        <w:t>Toward</w:t>
      </w:r>
      <w:proofErr w:type="spellEnd"/>
      <w:r>
        <w:t xml:space="preserve"> a </w:t>
      </w:r>
      <w:proofErr w:type="spellStart"/>
      <w:r>
        <w:t>spiderman</w:t>
      </w:r>
      <w:proofErr w:type="spellEnd"/>
      <w:r>
        <w:t xml:space="preserve"> suit  p14)</w:t>
      </w:r>
    </w:p>
    <w:p w:rsidR="00A70EEA" w:rsidRDefault="00A70EEA" w:rsidP="00A70EEA">
      <w:pPr>
        <w:pStyle w:val="Paragraphedeliste"/>
        <w:ind w:left="1440"/>
      </w:pPr>
    </w:p>
    <w:p w:rsidR="008809F3" w:rsidRDefault="008809F3" w:rsidP="008809F3">
      <w:pPr>
        <w:ind w:left="1080"/>
      </w:pPr>
    </w:p>
    <w:p w:rsidR="00A76C38" w:rsidRDefault="00A76C38" w:rsidP="00A76C38">
      <w:pPr>
        <w:pStyle w:val="Paragraphedeliste"/>
        <w:ind w:left="2160"/>
      </w:pPr>
    </w:p>
    <w:p w:rsidR="00A76C38" w:rsidRDefault="00A76C38" w:rsidP="00A76C38">
      <w:pPr>
        <w:pStyle w:val="Paragraphedeliste"/>
        <w:ind w:left="2160"/>
      </w:pPr>
    </w:p>
    <w:p w:rsidR="00A76C38" w:rsidRDefault="00A76C38" w:rsidP="00A76C38"/>
    <w:p w:rsidR="00A76C38" w:rsidRDefault="00A76C38"/>
    <w:sectPr w:rsidR="00A76C38" w:rsidSect="00EA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x10">
    <w:charset w:val="00"/>
    <w:family w:val="swiss"/>
    <w:pitch w:val="default"/>
  </w:font>
  <w:font w:name="cmr10">
    <w:charset w:val="00"/>
    <w:family w:val="swiss"/>
    <w:pitch w:val="default"/>
  </w:font>
  <w:font w:name="cmmi10">
    <w:altName w:val="Arial"/>
    <w:charset w:val="00"/>
    <w:family w:val="swiss"/>
    <w:pitch w:val="default"/>
  </w:font>
  <w:font w:name="cmsy10">
    <w:charset w:val="80"/>
    <w:family w:val="auto"/>
    <w:pitch w:val="default"/>
  </w:font>
  <w:font w:name="cmr8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mi8">
    <w:charset w:val="00"/>
    <w:family w:val="swiss"/>
    <w:pitch w:val="default"/>
  </w:font>
  <w:font w:name="cmsy8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37"/>
    <w:multiLevelType w:val="hybridMultilevel"/>
    <w:tmpl w:val="D3B2E292"/>
    <w:lvl w:ilvl="0" w:tplc="E52678AC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B4A95"/>
    <w:multiLevelType w:val="hybridMultilevel"/>
    <w:tmpl w:val="41F26670"/>
    <w:lvl w:ilvl="0" w:tplc="FDBA7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33C8"/>
    <w:multiLevelType w:val="hybridMultilevel"/>
    <w:tmpl w:val="7DFEF7C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6C38"/>
    <w:rsid w:val="002D4208"/>
    <w:rsid w:val="003844A5"/>
    <w:rsid w:val="00446D58"/>
    <w:rsid w:val="004D5840"/>
    <w:rsid w:val="00573C47"/>
    <w:rsid w:val="00581397"/>
    <w:rsid w:val="00590C76"/>
    <w:rsid w:val="005E30F9"/>
    <w:rsid w:val="00735A23"/>
    <w:rsid w:val="007814F8"/>
    <w:rsid w:val="008809F3"/>
    <w:rsid w:val="00904CFB"/>
    <w:rsid w:val="00951B29"/>
    <w:rsid w:val="009A3D25"/>
    <w:rsid w:val="009B4E00"/>
    <w:rsid w:val="00A2036C"/>
    <w:rsid w:val="00A70EEA"/>
    <w:rsid w:val="00A76C38"/>
    <w:rsid w:val="00AB2988"/>
    <w:rsid w:val="00AB48BC"/>
    <w:rsid w:val="00B51358"/>
    <w:rsid w:val="00C974D7"/>
    <w:rsid w:val="00D01AEE"/>
    <w:rsid w:val="00D33CA5"/>
    <w:rsid w:val="00E34973"/>
    <w:rsid w:val="00E7332E"/>
    <w:rsid w:val="00EA6AC0"/>
    <w:rsid w:val="00EF30DE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C0"/>
  </w:style>
  <w:style w:type="paragraph" w:styleId="Titre1">
    <w:name w:val="heading 1"/>
    <w:basedOn w:val="Normal"/>
    <w:next w:val="Normal"/>
    <w:link w:val="Titre1Car"/>
    <w:uiPriority w:val="9"/>
    <w:qFormat/>
    <w:rsid w:val="00A76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6C3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76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904CF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Emmanuelle RIO</cp:lastModifiedBy>
  <cp:revision>6</cp:revision>
  <cp:lastPrinted>2011-11-02T09:16:00Z</cp:lastPrinted>
  <dcterms:created xsi:type="dcterms:W3CDTF">2011-11-03T11:02:00Z</dcterms:created>
  <dcterms:modified xsi:type="dcterms:W3CDTF">2012-03-20T16:11:00Z</dcterms:modified>
</cp:coreProperties>
</file>